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ascii="黑体" w:hAnsi="黑体" w:eastAsia="黑体" w:cs="宋体"/>
          <w:b/>
          <w:bCs/>
          <w:kern w:val="0"/>
        </w:rPr>
      </w:pPr>
      <w:bookmarkStart w:id="0" w:name="_GoBack"/>
      <w:bookmarkEnd w:id="0"/>
    </w:p>
    <w:p>
      <w:pPr>
        <w:widowControl/>
        <w:adjustRightInd w:val="0"/>
        <w:snapToGrid w:val="0"/>
        <w:spacing w:line="360" w:lineRule="auto"/>
        <w:jc w:val="left"/>
        <w:rPr>
          <w:rFonts w:ascii="Times New Roman" w:hAnsi="Times New Roman" w:eastAsiaTheme="minorEastAsia"/>
          <w:szCs w:val="22"/>
        </w:rPr>
      </w:pPr>
      <w:r>
        <w:rPr>
          <w:rFonts w:hint="eastAsia" w:ascii="黑体" w:hAnsi="黑体" w:eastAsia="黑体" w:cs="宋体"/>
          <w:b/>
          <w:bCs/>
          <w:kern w:val="0"/>
        </w:rPr>
        <w:t>摘要</w:t>
      </w:r>
    </w:p>
    <w:p>
      <w:pPr>
        <w:widowControl/>
        <w:adjustRightInd w:val="0"/>
        <w:snapToGrid w:val="0"/>
        <w:spacing w:line="360" w:lineRule="auto"/>
        <w:jc w:val="left"/>
        <w:rPr>
          <w:rFonts w:ascii="宋体" w:hAnsi="宋体"/>
        </w:rPr>
      </w:pPr>
      <w:r>
        <w:rPr>
          <w:rFonts w:hint="eastAsia" w:ascii="宋体" w:hAnsi="宋体" w:cs="宋体"/>
          <w:b/>
          <w:kern w:val="0"/>
          <w:sz w:val="20"/>
          <w:szCs w:val="20"/>
        </w:rPr>
        <w:t xml:space="preserve">病史摘要 </w:t>
      </w:r>
      <w:r>
        <w:rPr>
          <w:rFonts w:hint="eastAsia" w:ascii="宋体" w:hAnsi="宋体"/>
        </w:rPr>
        <w:t>患者女，58岁，右眼视力下降伴眼前黑影飘动半个月。</w:t>
      </w:r>
    </w:p>
    <w:p>
      <w:pPr>
        <w:adjustRightInd w:val="0"/>
        <w:snapToGrid w:val="0"/>
        <w:spacing w:line="360" w:lineRule="auto"/>
        <w:jc w:val="left"/>
        <w:rPr>
          <w:rFonts w:ascii="宋体" w:hAnsi="宋体"/>
        </w:rPr>
      </w:pPr>
      <w:r>
        <w:rPr>
          <w:rFonts w:hint="eastAsia" w:ascii="宋体" w:hAnsi="宋体" w:cs="宋体"/>
          <w:b/>
          <w:kern w:val="0"/>
          <w:sz w:val="20"/>
          <w:szCs w:val="20"/>
        </w:rPr>
        <w:t xml:space="preserve">症状体征 </w:t>
      </w:r>
      <w:r>
        <w:rPr>
          <w:rFonts w:hint="eastAsia" w:ascii="宋体" w:hAnsi="宋体"/>
        </w:rPr>
        <w:t>右眼裸眼视力0.5，矫正无提高，结膜充血，角膜</w:t>
      </w:r>
      <w:r>
        <w:rPr>
          <w:rFonts w:ascii="Times New Roman" w:hAnsi="Times New Roman"/>
        </w:rPr>
        <w:t>KP（</w:t>
      </w:r>
      <w:r>
        <w:rPr>
          <w:rFonts w:hint="eastAsia" w:ascii="宋体" w:hAnsi="宋体"/>
        </w:rPr>
        <w:t>++），前房深、清，瞳孔圆，直径约</w:t>
      </w:r>
      <w:r>
        <w:rPr>
          <w:rFonts w:ascii="Times New Roman" w:hAnsi="Times New Roman"/>
        </w:rPr>
        <w:t>3mm</w:t>
      </w:r>
      <w:r>
        <w:rPr>
          <w:rFonts w:hint="eastAsia" w:ascii="宋体" w:hAnsi="宋体"/>
        </w:rPr>
        <w:t>，对光反射灵敏，晶体轻度混浊，玻璃体混浊、可见细胞，眼底颞上血管弓处见一黄白色绒球样病灶，邻近血管白鞘。</w:t>
      </w:r>
    </w:p>
    <w:p>
      <w:pPr>
        <w:adjustRightInd w:val="0"/>
        <w:snapToGrid w:val="0"/>
        <w:spacing w:line="360" w:lineRule="auto"/>
        <w:jc w:val="left"/>
        <w:rPr>
          <w:rFonts w:ascii="宋体" w:hAnsi="宋体"/>
        </w:rPr>
      </w:pPr>
      <w:r>
        <w:rPr>
          <w:rFonts w:hint="eastAsia" w:ascii="宋体" w:hAnsi="宋体" w:cs="宋体"/>
          <w:b/>
          <w:kern w:val="0"/>
          <w:sz w:val="20"/>
          <w:szCs w:val="20"/>
        </w:rPr>
        <w:t xml:space="preserve">诊断方法 </w:t>
      </w:r>
      <w:r>
        <w:rPr>
          <w:rFonts w:hint="eastAsia" w:ascii="宋体" w:hAnsi="宋体"/>
        </w:rPr>
        <w:t>经眼内液及血清实验室检测确诊：右眼眼弓形虫病。</w:t>
      </w:r>
    </w:p>
    <w:p>
      <w:pPr>
        <w:widowControl/>
        <w:adjustRightInd w:val="0"/>
        <w:snapToGrid w:val="0"/>
        <w:spacing w:line="360" w:lineRule="auto"/>
        <w:jc w:val="left"/>
        <w:rPr>
          <w:rFonts w:ascii="宋体" w:hAnsi="宋体" w:cs="宋体"/>
          <w:b/>
          <w:kern w:val="0"/>
          <w:sz w:val="20"/>
          <w:szCs w:val="20"/>
        </w:rPr>
      </w:pPr>
      <w:r>
        <w:rPr>
          <w:rFonts w:hint="eastAsia" w:ascii="宋体" w:hAnsi="宋体" w:cs="宋体"/>
          <w:b/>
          <w:kern w:val="0"/>
          <w:sz w:val="20"/>
          <w:szCs w:val="20"/>
        </w:rPr>
        <w:t xml:space="preserve">治疗方法 </w:t>
      </w:r>
      <w:r>
        <w:rPr>
          <w:rFonts w:hint="eastAsia" w:ascii="宋体" w:hAnsi="宋体"/>
        </w:rPr>
        <w:t>经激素、复方新诺明和螺旋霉素治疗后视力好转，炎症反应消失。</w:t>
      </w:r>
    </w:p>
    <w:p>
      <w:pPr>
        <w:adjustRightInd w:val="0"/>
        <w:snapToGrid w:val="0"/>
        <w:spacing w:line="360" w:lineRule="auto"/>
        <w:jc w:val="left"/>
        <w:rPr>
          <w:rFonts w:ascii="Times New Roman" w:hAnsi="Times New Roman" w:eastAsiaTheme="minorEastAsia"/>
          <w:szCs w:val="22"/>
        </w:rPr>
      </w:pPr>
      <w:r>
        <w:rPr>
          <w:rFonts w:hint="eastAsia" w:ascii="宋体" w:hAnsi="宋体" w:cs="宋体"/>
          <w:b/>
          <w:kern w:val="0"/>
          <w:sz w:val="20"/>
          <w:szCs w:val="20"/>
        </w:rPr>
        <w:t xml:space="preserve">临床转归 </w:t>
      </w:r>
      <w:r>
        <w:rPr>
          <w:rFonts w:hint="eastAsia" w:ascii="宋体" w:hAnsi="宋体"/>
        </w:rPr>
        <w:t>最佳矫正视力恢复至</w:t>
      </w:r>
      <w:r>
        <w:rPr>
          <w:rFonts w:ascii="Times New Roman" w:hAnsi="Times New Roman"/>
        </w:rPr>
        <w:t>1.0</w:t>
      </w:r>
      <w:r>
        <w:rPr>
          <w:rFonts w:hint="eastAsia" w:ascii="宋体" w:hAnsi="宋体"/>
        </w:rPr>
        <w:t>，眼部体征示右眼炎症反应消失，眼底病灶较前缩小，病灶前见增殖膜，后极部网膜皱褶。</w:t>
      </w:r>
    </w:p>
    <w:p>
      <w:pPr>
        <w:widowControl/>
        <w:adjustRightInd w:val="0"/>
        <w:snapToGrid w:val="0"/>
        <w:spacing w:line="360" w:lineRule="auto"/>
        <w:jc w:val="left"/>
        <w:rPr>
          <w:rFonts w:ascii="Times New Roman" w:hAnsi="Times New Roman"/>
        </w:rPr>
      </w:pPr>
      <w:r>
        <w:rPr>
          <w:rFonts w:hint="eastAsia" w:ascii="Times New Roman" w:hAnsi="Times New Roman"/>
          <w:b/>
          <w:bCs/>
        </w:rPr>
        <w:t>适合阅读人群</w:t>
      </w:r>
      <w:r>
        <w:rPr>
          <w:rFonts w:hint="eastAsia" w:ascii="宋体" w:hAnsi="宋体"/>
        </w:rPr>
        <w:t>眼科；感染科</w:t>
      </w:r>
    </w:p>
    <w:p>
      <w:pPr>
        <w:widowControl/>
        <w:adjustRightInd w:val="0"/>
        <w:snapToGrid w:val="0"/>
        <w:spacing w:line="360" w:lineRule="auto"/>
        <w:jc w:val="left"/>
        <w:rPr>
          <w:rFonts w:ascii="宋体" w:hAnsi="宋体"/>
        </w:rPr>
      </w:pPr>
      <w:r>
        <w:rPr>
          <w:rFonts w:hint="eastAsia" w:ascii="Times New Roman" w:hAnsi="Times New Roman"/>
          <w:b/>
          <w:bCs/>
        </w:rPr>
        <w:t xml:space="preserve">关键词  </w:t>
      </w:r>
      <w:r>
        <w:rPr>
          <w:rFonts w:hint="eastAsia" w:ascii="宋体" w:hAnsi="宋体"/>
        </w:rPr>
        <w:t>弓形虫；视网膜脉络膜炎；眼弓形虫病</w:t>
      </w:r>
    </w:p>
    <w:p>
      <w:pPr>
        <w:widowControl/>
        <w:adjustRightInd w:val="0"/>
        <w:snapToGrid w:val="0"/>
        <w:spacing w:line="360" w:lineRule="auto"/>
        <w:jc w:val="left"/>
        <w:rPr>
          <w:rFonts w:ascii="Times New Roman" w:hAnsi="Times New Roman"/>
        </w:rPr>
      </w:pPr>
    </w:p>
    <w:p>
      <w:pPr>
        <w:widowControl/>
        <w:spacing w:line="276" w:lineRule="auto"/>
        <w:ind w:firstLine="420" w:firstLineChars="200"/>
        <w:rPr>
          <w:rFonts w:ascii="宋体" w:hAnsi="宋体"/>
          <w:szCs w:val="22"/>
        </w:rPr>
      </w:pPr>
      <w:r>
        <w:rPr>
          <w:rFonts w:hint="eastAsia" w:ascii="宋体" w:hAnsi="宋体"/>
        </w:rPr>
        <w:t>眼弓形虫病（</w:t>
      </w:r>
      <w:r>
        <w:rPr>
          <w:rFonts w:ascii="Times New Roman" w:hAnsi="Times New Roman"/>
        </w:rPr>
        <w:t>ocular toxoplasmosis</w:t>
      </w:r>
      <w:r>
        <w:rPr>
          <w:rFonts w:hint="eastAsia" w:ascii="Times New Roman" w:hAnsi="Times New Roman"/>
        </w:rPr>
        <w:t>，</w:t>
      </w:r>
      <w:r>
        <w:rPr>
          <w:rFonts w:ascii="Times New Roman" w:hAnsi="Times New Roman"/>
        </w:rPr>
        <w:t>OT</w:t>
      </w:r>
      <w:r>
        <w:rPr>
          <w:rFonts w:hint="eastAsia" w:ascii="宋体" w:hAnsi="宋体"/>
        </w:rPr>
        <w:t>）是欧美国家感染性后葡萄膜炎的主要原因</w:t>
      </w:r>
      <w:r>
        <w:rPr>
          <w:rFonts w:ascii="Times New Roman" w:hAnsi="Times New Roman"/>
          <w:vertAlign w:val="superscript"/>
        </w:rPr>
        <w:fldChar w:fldCharType="begin">
          <w:fldData xml:space="preserve">PEVuZE5vdGU+PENpdGU+PEF1dGhvcj5Mb25kb248L0F1dGhvcj48WWVhcj4yMDExPC9ZZWFyPjxS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</w:fldData>
        </w:fldChar>
      </w:r>
      <w:r>
        <w:rPr>
          <w:rFonts w:ascii="Times New Roman" w:hAnsi="Times New Roman"/>
          <w:vertAlign w:val="superscript"/>
        </w:rPr>
        <w:instrText xml:space="preserve"> ADDIN EN.CITE </w:instrText>
      </w:r>
      <w:r>
        <w:rPr>
          <w:rFonts w:ascii="Times New Roman" w:hAnsi="Times New Roman"/>
          <w:vertAlign w:val="superscript"/>
        </w:rPr>
        <w:fldChar w:fldCharType="begin">
          <w:fldData xml:space="preserve">PEVuZE5vdGU+PENpdGU+PEF1dGhvcj5Mb25kb248L0F1dGhvcj48WWVhcj4yMDExPC9ZZWFyPjxS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</w:fldData>
        </w:fldChar>
      </w:r>
      <w:r>
        <w:rPr>
          <w:rFonts w:ascii="Times New Roman" w:hAnsi="Times New Roman"/>
          <w:vertAlign w:val="superscript"/>
        </w:rPr>
        <w:instrText xml:space="preserve"> ADDIN EN.CITE.DATA </w:instrText>
      </w:r>
      <w:r>
        <w:rPr>
          <w:rFonts w:ascii="Times New Roman" w:hAnsi="Times New Roman"/>
          <w:vertAlign w:val="superscript"/>
        </w:rPr>
        <w:fldChar w:fldCharType="end"/>
      </w:r>
      <w:r>
        <w:rPr>
          <w:rFonts w:ascii="Times New Roman" w:hAnsi="Times New Roman"/>
          <w:vertAlign w:val="superscript"/>
        </w:rPr>
        <w:fldChar w:fldCharType="separate"/>
      </w:r>
      <w:r>
        <w:rPr>
          <w:rFonts w:ascii="Times New Roman" w:hAnsi="Times New Roman"/>
          <w:vertAlign w:val="superscript"/>
        </w:rPr>
        <w:t>[1]</w:t>
      </w:r>
      <w:r>
        <w:rPr>
          <w:rFonts w:ascii="Times New Roman" w:hAnsi="Times New Roman"/>
          <w:vertAlign w:val="superscript"/>
        </w:rPr>
        <w:fldChar w:fldCharType="end"/>
      </w:r>
      <w:r>
        <w:rPr>
          <w:rFonts w:hint="eastAsia" w:ascii="宋体" w:hAnsi="宋体"/>
        </w:rPr>
        <w:t>，我国该病在正常人群的感染率低于10%</w:t>
      </w:r>
      <w:r>
        <w:rPr>
          <w:rFonts w:ascii="Times New Roman" w:hAnsi="Times New Roman"/>
          <w:vertAlign w:val="superscript"/>
        </w:rPr>
        <w:fldChar w:fldCharType="begin"/>
      </w:r>
      <w:r>
        <w:rPr>
          <w:rFonts w:ascii="Times New Roman" w:hAnsi="Times New Roman"/>
          <w:vertAlign w:val="superscript"/>
        </w:rPr>
        <w:instrText xml:space="preserve"> ADDIN EN.CITE &lt;EndNote&gt;&lt;Cite&gt;&lt;Author&gt;Petersen&lt;/Author&gt;&lt;Year&gt;2012&lt;/Year&gt;&lt;RecNum&gt;151&lt;/RecNum&gt;&lt;DisplayText&gt;(2)&lt;/DisplayText&gt;&lt;record&gt;&lt;rec-number&gt;151&lt;/rec-number&gt;&lt;foreign-keys&gt;&lt;key app="EN" db-id="ewe5zw5ahdsve5erxt0vtwvgersft0dd2zzr" timestamp="1661353441"&gt;151&lt;/key&gt;&lt;/foreign-keys&gt;&lt;ref-type name="Journal Article"&gt;17&lt;/ref-type&gt;&lt;contributors&gt;&lt;authors&gt;&lt;author&gt;Petersen, E.&lt;/author&gt;&lt;author&gt;Kijlstra, A.&lt;/author&gt;&lt;author&gt;Stanford, M.&lt;/author&gt;&lt;/authors&gt;&lt;/contributors&gt;&lt;auth-address&gt;Department of Infectious Diseases, Aarhus University Hospital Skejby, Aarhus, Denmark. eskildp@dadlnet.dk&lt;/auth-address&gt;&lt;titles&gt;&lt;title&gt;Epidemiology of ocular toxoplasmosis&lt;/title&gt;&lt;secondary-title&gt;Ocul Immunol Inflamm&lt;/secondary-title&gt;&lt;/titles&gt;&lt;periodical&gt;&lt;full-title&gt;Ocul Immunol Inflamm&lt;/full-title&gt;&lt;/periodical&gt;&lt;pages&gt;68-75&lt;/pages&gt;&lt;volume&gt;20&lt;/volume&gt;&lt;number&gt;2&lt;/number&gt;&lt;edition&gt;2012/03/14&lt;/edition&gt;&lt;keywords&gt;&lt;keyword&gt;Female&lt;/keyword&gt;&lt;keyword&gt;Humans&lt;/keyword&gt;&lt;keyword&gt;Incidence&lt;/keyword&gt;&lt;keyword&gt;Male&lt;/keyword&gt;&lt;keyword&gt;Meat/parasitology&lt;/keyword&gt;&lt;keyword&gt;Pregnancy&lt;/keyword&gt;&lt;keyword&gt;Pregnancy Complications, Parasitic/epidemiology/prevention &amp;amp; control&lt;/keyword&gt;&lt;keyword&gt;Prevalence&lt;/keyword&gt;&lt;keyword&gt;Risk Factors&lt;/keyword&gt;&lt;keyword&gt;Severity of Illness Index&lt;/keyword&gt;&lt;keyword&gt;Toxoplasma/pathogenicity&lt;/keyword&gt;&lt;keyword&gt;Toxoplasmosis, Ocular/congenital/*epidemiology/prevention &amp;amp; control/transmission&lt;/keyword&gt;&lt;/keywords&gt;&lt;dates&gt;&lt;year&gt;2012&lt;/year&gt;&lt;pub-dates&gt;&lt;date&gt;Apr&lt;/date&gt;&lt;/pub-dates&gt;&lt;/dates&gt;&lt;isbn&gt;1744-5078 (Electronic)&amp;#xD;0927-3948 (Linking)&lt;/isbn&gt;&lt;accession-num&gt;22409558&lt;/accession-num&gt;&lt;urls&gt;&lt;related-urls&gt;&lt;url&gt;https://www.ncbi.nlm.nih.gov/pubmed/22409558&lt;/url&gt;&lt;/related-urls&gt;&lt;/urls&gt;&lt;electronic-resource-num&gt;10.3109/09273948.2012.661115&lt;/electronic-resource-num&gt;&lt;/record&gt;&lt;/Cite&gt;&lt;/EndNote&gt;</w:instrText>
      </w:r>
      <w:r>
        <w:rPr>
          <w:rFonts w:ascii="Times New Roman" w:hAnsi="Times New Roman"/>
          <w:vertAlign w:val="superscript"/>
        </w:rPr>
        <w:fldChar w:fldCharType="separate"/>
      </w:r>
      <w:r>
        <w:rPr>
          <w:rFonts w:ascii="Times New Roman" w:hAnsi="Times New Roman"/>
          <w:vertAlign w:val="superscript"/>
        </w:rPr>
        <w:t>[2]</w:t>
      </w:r>
      <w:r>
        <w:rPr>
          <w:rFonts w:ascii="Times New Roman" w:hAnsi="Times New Roman"/>
          <w:vertAlign w:val="superscript"/>
        </w:rPr>
        <w:fldChar w:fldCharType="end"/>
      </w:r>
      <w:r>
        <w:rPr>
          <w:rFonts w:hint="eastAsia" w:ascii="宋体" w:hAnsi="宋体"/>
        </w:rPr>
        <w:t>。该病是由刚地弓形虫感染引起的以单侧坏死性视网膜脉络膜炎为典型特征的疾病，可分为先天性和获得性。获得性弓形虫眼病主要表现为局灶性视网膜脉络膜炎症病灶，常伴有玻璃体炎和前葡萄膜炎</w:t>
      </w:r>
      <w:r>
        <w:rPr>
          <w:rFonts w:ascii="Times New Roman" w:hAnsi="Times New Roman"/>
          <w:vertAlign w:val="superscript"/>
        </w:rPr>
        <w:t>[3]</w:t>
      </w:r>
      <w:r>
        <w:rPr>
          <w:rFonts w:hint="eastAsia" w:ascii="宋体" w:hAnsi="宋体"/>
        </w:rPr>
        <w:t>，易与其他类型葡萄膜炎混淆，临床上常被漏诊、误诊，可引起部分患者严重、不可逆性视功能损害。现报道1例获得性眼弓形体病，旨在提高对本病的认识，减少误诊和漏诊。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D3"/>
    <w:rsid w:val="004463D3"/>
    <w:rsid w:val="007D4114"/>
    <w:rsid w:val="00C933C8"/>
    <w:rsid w:val="1991739F"/>
    <w:rsid w:val="2790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486</Words>
  <Characters>522</Characters>
  <Lines>16</Lines>
  <Paragraphs>4</Paragraphs>
  <TotalTime>2</TotalTime>
  <ScaleCrop>false</ScaleCrop>
  <LinksUpToDate>false</LinksUpToDate>
  <CharactersWithSpaces>530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2022-11-21T11:25:00Z</dcterms:created>
  <dc:creator>oliver maxxie</dc:creator>
  <cp:lastModifiedBy>user</cp:lastModifiedBy>
  <dcterms:modified xsi:type="dcterms:W3CDTF">2022-11-22T08:10:47Z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36C27BD2D3084CB19B06C5F460DAB74D</vt:lpwstr>
  </property>
</Properties>
</file>